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DB7207">
      <w:pPr>
        <w:spacing w:after="0" w:line="240" w:lineRule="auto"/>
        <w:rPr>
          <w:rFonts w:ascii="Times New Roman" w:hAnsi="Times New Roman" w:cs="Times New Roman"/>
          <w:b/>
          <w:bCs/>
          <w:sz w:val="28"/>
          <w:szCs w:val="28"/>
          <w:lang w:eastAsia="fr-FR"/>
        </w:rPr>
      </w:pPr>
      <w:bookmarkStart w:id="1" w:name="_GoBack"/>
      <w:bookmarkEnd w:id="1"/>
    </w:p>
    <w:p w14:paraId="38B27EB0">
      <w:pPr>
        <w:spacing w:after="0" w:line="240" w:lineRule="auto"/>
        <w:jc w:val="center"/>
        <w:rPr>
          <w:rFonts w:ascii="Times New Roman" w:hAnsi="Times New Roman" w:cs="Times New Roman"/>
          <w:b/>
          <w:bCs/>
          <w:sz w:val="28"/>
          <w:szCs w:val="28"/>
          <w:lang w:eastAsia="fr-FR"/>
        </w:rPr>
      </w:pPr>
      <w:r>
        <w:rPr>
          <w:rFonts w:ascii="Times New Roman" w:hAnsi="Times New Roman" w:cs="Times New Roman"/>
          <w:b/>
          <w:bCs/>
          <w:sz w:val="28"/>
          <w:szCs w:val="28"/>
          <w:lang w:eastAsia="fr-FR"/>
        </w:rPr>
        <w:t>REGLEMENT DE LOCATION DE LA SALLE COMMUNALE</w:t>
      </w:r>
    </w:p>
    <w:p w14:paraId="32B3016D">
      <w:pPr>
        <w:spacing w:after="0" w:line="240" w:lineRule="auto"/>
        <w:jc w:val="center"/>
        <w:rPr>
          <w:rFonts w:ascii="Times New Roman" w:hAnsi="Times New Roman" w:cs="Times New Roman"/>
          <w:b/>
          <w:bCs/>
          <w:sz w:val="28"/>
          <w:szCs w:val="28"/>
          <w:lang w:eastAsia="fr-FR"/>
        </w:rPr>
      </w:pPr>
    </w:p>
    <w:p w14:paraId="184A841F">
      <w:pPr>
        <w:spacing w:after="0" w:line="240" w:lineRule="auto"/>
        <w:jc w:val="center"/>
        <w:rPr>
          <w:rFonts w:ascii="Times New Roman" w:hAnsi="Times New Roman" w:cs="Times New Roman"/>
          <w:b/>
          <w:bCs/>
          <w:sz w:val="24"/>
          <w:szCs w:val="24"/>
          <w:lang w:eastAsia="fr-FR"/>
        </w:rPr>
      </w:pPr>
      <w:r>
        <w:rPr>
          <w:rFonts w:ascii="Times New Roman" w:hAnsi="Times New Roman" w:cs="Times New Roman"/>
          <w:b/>
          <w:bCs/>
          <w:sz w:val="24"/>
          <w:szCs w:val="24"/>
          <w:lang w:eastAsia="fr-FR"/>
        </w:rPr>
        <w:t>Revu par le Conseil municipal du 15 septembre 2025</w:t>
      </w:r>
    </w:p>
    <w:p w14:paraId="7DBB64B6">
      <w:pPr>
        <w:spacing w:after="0" w:line="240" w:lineRule="auto"/>
        <w:jc w:val="center"/>
        <w:rPr>
          <w:rFonts w:ascii="Times New Roman" w:hAnsi="Times New Roman" w:cs="Times New Roman"/>
          <w:b/>
          <w:bCs/>
          <w:sz w:val="28"/>
          <w:szCs w:val="28"/>
          <w:lang w:eastAsia="fr-FR"/>
        </w:rPr>
      </w:pPr>
    </w:p>
    <w:p w14:paraId="191396F3">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 </w:t>
      </w:r>
    </w:p>
    <w:p w14:paraId="1F92B36F">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La salle communale est gérée et entretenue par la commune, avec pour objectif la mise à disposition d’un lieu de rencontre et de rassemblement permettant des réunions et des manifestations municipales, associatives et familiales. </w:t>
      </w:r>
    </w:p>
    <w:p w14:paraId="59FA63EB">
      <w:pPr>
        <w:spacing w:after="0" w:line="240" w:lineRule="auto"/>
        <w:jc w:val="both"/>
        <w:rPr>
          <w:rFonts w:ascii="Times New Roman" w:hAnsi="Times New Roman" w:cs="Times New Roman"/>
          <w:sz w:val="24"/>
          <w:szCs w:val="24"/>
          <w:lang w:eastAsia="fr-FR"/>
        </w:rPr>
      </w:pPr>
    </w:p>
    <w:p w14:paraId="75D809DB">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Ce présent règlement ne concerne que l’occupation occasionnelle des locaux. La municipalité reste prioritaire sur l’utilisation des salles, la location à des tiers n’étant que subsidiaire. Toute utilisation de cette salle à des fins commerciales ou lucratives est interdite.</w:t>
      </w:r>
    </w:p>
    <w:p w14:paraId="7BFF0E71">
      <w:pPr>
        <w:spacing w:after="0" w:line="240" w:lineRule="auto"/>
        <w:jc w:val="both"/>
        <w:rPr>
          <w:rFonts w:ascii="Times New Roman" w:hAnsi="Times New Roman" w:cs="Times New Roman"/>
          <w:sz w:val="24"/>
          <w:szCs w:val="24"/>
          <w:lang w:eastAsia="fr-FR"/>
        </w:rPr>
      </w:pPr>
    </w:p>
    <w:p w14:paraId="02D9F6DF">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Les dispositions du présent règlement sont prises en application des articles L.2212-2 et suivants du </w:t>
      </w:r>
      <w:r>
        <w:rPr>
          <w:rFonts w:ascii="Times New Roman" w:hAnsi="Times New Roman" w:cs="Times New Roman"/>
          <w:i/>
          <w:iCs/>
          <w:sz w:val="24"/>
          <w:szCs w:val="24"/>
          <w:lang w:eastAsia="fr-FR"/>
        </w:rPr>
        <w:t>Code général des collectivités territoriales</w:t>
      </w:r>
      <w:r>
        <w:rPr>
          <w:rFonts w:ascii="Times New Roman" w:hAnsi="Times New Roman" w:cs="Times New Roman"/>
          <w:sz w:val="24"/>
          <w:szCs w:val="24"/>
          <w:lang w:eastAsia="fr-FR"/>
        </w:rPr>
        <w:t xml:space="preserve">. Dans ce cadre, la municipalité se réserve le droit de refuser une location pour toute manifestation susceptible de troubler l’ordre public. </w:t>
      </w:r>
    </w:p>
    <w:p w14:paraId="7EE07930">
      <w:pPr>
        <w:spacing w:after="0" w:line="240" w:lineRule="auto"/>
        <w:jc w:val="both"/>
        <w:rPr>
          <w:rFonts w:ascii="Times New Roman" w:hAnsi="Times New Roman" w:cs="Times New Roman"/>
          <w:sz w:val="24"/>
          <w:szCs w:val="24"/>
          <w:lang w:eastAsia="fr-FR"/>
        </w:rPr>
      </w:pPr>
    </w:p>
    <w:p w14:paraId="04961EC7">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LES BENEFICIAIRES</w:t>
      </w:r>
    </w:p>
    <w:p w14:paraId="0E2777E9">
      <w:pPr>
        <w:spacing w:after="0" w:line="240" w:lineRule="auto"/>
        <w:jc w:val="both"/>
        <w:rPr>
          <w:rFonts w:ascii="Times New Roman" w:hAnsi="Times New Roman" w:cs="Times New Roman"/>
          <w:sz w:val="24"/>
          <w:szCs w:val="24"/>
          <w:lang w:eastAsia="fr-FR"/>
        </w:rPr>
      </w:pPr>
    </w:p>
    <w:p w14:paraId="1B2FE14A">
      <w:pPr>
        <w:spacing w:after="0" w:line="240" w:lineRule="auto"/>
        <w:jc w:val="both"/>
        <w:rPr>
          <w:rFonts w:ascii="Times New Roman" w:hAnsi="Times New Roman" w:cs="Times New Roman"/>
          <w:sz w:val="24"/>
          <w:szCs w:val="24"/>
          <w:lang w:eastAsia="fr-FR"/>
        </w:rPr>
      </w:pPr>
      <w:r>
        <w:rPr>
          <w:rFonts w:ascii="Times New Roman" w:hAnsi="Times New Roman" w:cs="Times New Roman"/>
          <w:b/>
          <w:bCs/>
          <w:sz w:val="24"/>
          <w:szCs w:val="24"/>
          <w:lang w:eastAsia="fr-FR"/>
        </w:rPr>
        <w:t>La municipalité de Cintheaux</w:t>
      </w:r>
      <w:r>
        <w:rPr>
          <w:rFonts w:ascii="Times New Roman" w:hAnsi="Times New Roman" w:cs="Times New Roman"/>
          <w:sz w:val="24"/>
          <w:szCs w:val="24"/>
          <w:lang w:eastAsia="fr-FR"/>
        </w:rPr>
        <w:t xml:space="preserve"> se réserve un droit de priorité sur la salle municipale, notamment pour l’organisation de mariages, d’élections, de réunions publiques, de manifestations municipales, d’évènement imprévu urgent mettant en cause la vie municipale, de travaux importants à réaliser. Par ailleurs, la municipalité peut immobiliser la salle pour des raisons de sécurité. </w:t>
      </w:r>
    </w:p>
    <w:p w14:paraId="16E29DD7">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Il est rappelé que la salle communale ne peut accueillir plus de 70 personnes. Afin de faciliter la gestion des salles et d’obtenir un calendrier permettant une bonne gestion des locations de salle, un calendrier de pré réservation est établi. </w:t>
      </w:r>
    </w:p>
    <w:p w14:paraId="0ECDFF4D">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Si deux locations se présentent pour le même week-end, la priorité sera donnée au premier qui en fait la demande, à condition qu’il n’ait pas bénéficié de la salle depuis un an avant la date de la location souhaitée. </w:t>
      </w:r>
    </w:p>
    <w:p w14:paraId="0FC7D74F">
      <w:pPr>
        <w:spacing w:after="0" w:line="240" w:lineRule="auto"/>
        <w:jc w:val="both"/>
        <w:rPr>
          <w:rFonts w:ascii="Times New Roman" w:hAnsi="Times New Roman" w:cs="Times New Roman"/>
          <w:sz w:val="24"/>
          <w:szCs w:val="24"/>
          <w:lang w:eastAsia="fr-FR"/>
        </w:rPr>
      </w:pPr>
    </w:p>
    <w:p w14:paraId="009BBD3B">
      <w:pPr>
        <w:spacing w:after="0" w:line="240" w:lineRule="auto"/>
        <w:jc w:val="both"/>
        <w:rPr>
          <w:rFonts w:ascii="Times New Roman" w:hAnsi="Times New Roman" w:cs="Times New Roman"/>
          <w:sz w:val="24"/>
          <w:szCs w:val="24"/>
          <w:lang w:eastAsia="fr-FR"/>
        </w:rPr>
      </w:pPr>
      <w:r>
        <w:rPr>
          <w:rFonts w:ascii="Times New Roman" w:hAnsi="Times New Roman" w:cs="Times New Roman"/>
          <w:b/>
          <w:bCs/>
          <w:sz w:val="24"/>
          <w:szCs w:val="24"/>
          <w:lang w:eastAsia="fr-FR"/>
        </w:rPr>
        <w:t>Les manifestations officielles de la Communauté de communes Cingal-Suisse Normande et de ses associations</w:t>
      </w:r>
      <w:r>
        <w:rPr>
          <w:rFonts w:ascii="Times New Roman" w:hAnsi="Times New Roman" w:cs="Times New Roman"/>
          <w:sz w:val="24"/>
          <w:szCs w:val="24"/>
          <w:lang w:eastAsia="fr-FR"/>
        </w:rPr>
        <w:t xml:space="preserve"> peuvent bénéficier de la salle municipale pour une utilisation ponctuelle liée à une réunion ou manifestation. Les associations de la Communauté de communes Cingal-Suisse Normande s’engagent à ne pas servir de prête-nom pour masquer des utilisations de particuliers, même adhérents, ou d’utilisation extérieure. Dans le cas contraire, l’association prête-nom ne pourrait plus louer la salle communale.</w:t>
      </w:r>
    </w:p>
    <w:p w14:paraId="71B73781">
      <w:pPr>
        <w:spacing w:after="0" w:line="240" w:lineRule="auto"/>
        <w:jc w:val="both"/>
        <w:rPr>
          <w:rFonts w:ascii="Times New Roman" w:hAnsi="Times New Roman" w:cs="Times New Roman"/>
          <w:sz w:val="24"/>
          <w:szCs w:val="24"/>
          <w:lang w:eastAsia="fr-FR"/>
        </w:rPr>
      </w:pPr>
    </w:p>
    <w:p w14:paraId="1CD93D1D">
      <w:pPr>
        <w:spacing w:after="0" w:line="240" w:lineRule="auto"/>
        <w:jc w:val="both"/>
        <w:rPr>
          <w:rFonts w:ascii="Times New Roman" w:hAnsi="Times New Roman" w:cs="Times New Roman"/>
          <w:sz w:val="24"/>
          <w:szCs w:val="24"/>
          <w:lang w:eastAsia="fr-FR"/>
        </w:rPr>
      </w:pPr>
      <w:r>
        <w:rPr>
          <w:rFonts w:ascii="Times New Roman" w:hAnsi="Times New Roman" w:cs="Times New Roman"/>
          <w:b/>
          <w:bCs/>
          <w:sz w:val="24"/>
          <w:szCs w:val="24"/>
          <w:lang w:eastAsia="fr-FR"/>
        </w:rPr>
        <w:t xml:space="preserve">Les particuliers, habitants de Cintheaux </w:t>
      </w:r>
      <w:r>
        <w:rPr>
          <w:rFonts w:ascii="Times New Roman" w:hAnsi="Times New Roman" w:cs="Times New Roman"/>
          <w:bCs/>
          <w:sz w:val="24"/>
          <w:szCs w:val="24"/>
          <w:lang w:eastAsia="fr-FR"/>
        </w:rPr>
        <w:t>et eux seuls,</w:t>
      </w:r>
      <w:r>
        <w:rPr>
          <w:rFonts w:ascii="Times New Roman" w:hAnsi="Times New Roman" w:cs="Times New Roman"/>
          <w:sz w:val="24"/>
          <w:szCs w:val="24"/>
          <w:lang w:eastAsia="fr-FR"/>
        </w:rPr>
        <w:t xml:space="preserve"> bénéficient de la location de la salle communale, à condition d’être majeurs, présents pendant le temps de la location et détenteurs d’une assurance Responsabilité civile.</w:t>
      </w:r>
    </w:p>
    <w:p w14:paraId="550A3A1B">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Les habitants de Cintheaux qui souhaitent louer la salle communale, s’engagent, de la même façon que les associations, à ne pas servir de prête-nom. Dans le cas contraire, le prête-nom ne pourrait plus redemander la salle communale. Toute sous-location est également interdite.</w:t>
      </w:r>
    </w:p>
    <w:p w14:paraId="0463FCF9">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La location commence le samedi à partir de 9 heures et doit être terminée le dimanche soir à 21 heures. Un état des lieux est effectué au début et à la fin de la location, avec relevé du compteur.</w:t>
      </w:r>
    </w:p>
    <w:p w14:paraId="0AEC83CC">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La location comprend la salle communale, le couloir donnant accès à l’entrée et à la terrasse, les sanitaires et l’office de réchauffage. L’accès aux pièces de la mairie est interdit en cas de location.</w:t>
      </w:r>
    </w:p>
    <w:p w14:paraId="647CDF83">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L’ensemble des invités doit respecter le voisinage qui ne doit être soumis à aucune nuisance (musique trop forte, allées et venues intempestives, portières de voitures qui claquent, dépôts d’objets souillés, etc.)</w:t>
      </w:r>
    </w:p>
    <w:p w14:paraId="2E88EA73">
      <w:pPr>
        <w:pStyle w:val="12"/>
        <w:spacing w:after="0" w:line="240" w:lineRule="auto"/>
        <w:jc w:val="both"/>
        <w:rPr>
          <w:rFonts w:ascii="Times New Roman" w:hAnsi="Times New Roman" w:cs="Times New Roman"/>
          <w:b/>
          <w:bCs/>
          <w:i/>
          <w:iCs/>
          <w:sz w:val="24"/>
          <w:szCs w:val="24"/>
          <w:lang w:eastAsia="fr-FR"/>
        </w:rPr>
      </w:pPr>
      <w:r>
        <w:rPr>
          <w:rFonts w:ascii="Times New Roman" w:hAnsi="Times New Roman" w:cs="Times New Roman"/>
          <w:b/>
          <w:bCs/>
          <w:i/>
          <w:iCs/>
          <w:sz w:val="24"/>
          <w:szCs w:val="24"/>
          <w:lang w:eastAsia="fr-FR"/>
        </w:rPr>
        <w:t>Pour rappel, les nuisances sonores causées entre 22h et 7h peuvent entraîner des poursuites.</w:t>
      </w:r>
    </w:p>
    <w:p w14:paraId="5597003D">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Il est interdit de fumer dans la salle communale qui est un lieu public, de même que dans les halls d’entrée.</w:t>
      </w:r>
    </w:p>
    <w:p w14:paraId="1CF1026C">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Aucune décoration ne doit être apposée sur les murs. Il est formellement interdit de planter des clous ou punaises, de percer, d’agrafer, de coller (avec de la colle ou ruban adhésif) dans quelqu’endroit que ce soit de la salle et de ses dépendances et de se servir des luminaires pour accrocher des décorations ou autres. </w:t>
      </w:r>
    </w:p>
    <w:p w14:paraId="64F6B00A">
      <w:pPr>
        <w:pStyle w:val="12"/>
        <w:numPr>
          <w:ilvl w:val="0"/>
          <w:numId w:val="1"/>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La location comprend la remise en état et le nettoyage du lieu (le matériel de nettoyage est rangé dans un placard, en face de l’office de réchauffage).</w:t>
      </w:r>
    </w:p>
    <w:p w14:paraId="66CC626C">
      <w:pPr>
        <w:spacing w:after="0" w:line="240" w:lineRule="auto"/>
        <w:jc w:val="both"/>
        <w:rPr>
          <w:rFonts w:ascii="Times New Roman" w:hAnsi="Times New Roman" w:cs="Times New Roman"/>
          <w:sz w:val="24"/>
          <w:szCs w:val="24"/>
          <w:lang w:eastAsia="fr-FR"/>
        </w:rPr>
      </w:pPr>
    </w:p>
    <w:p w14:paraId="49E8AD90">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 xml:space="preserve">LES CONDITIONS DE LOCATION </w:t>
      </w:r>
    </w:p>
    <w:p w14:paraId="7E574F77">
      <w:pPr>
        <w:spacing w:after="0" w:line="240" w:lineRule="auto"/>
        <w:jc w:val="both"/>
        <w:rPr>
          <w:rFonts w:ascii="Times New Roman" w:hAnsi="Times New Roman" w:cs="Times New Roman"/>
          <w:sz w:val="24"/>
          <w:szCs w:val="24"/>
          <w:lang w:eastAsia="fr-FR"/>
        </w:rPr>
      </w:pPr>
    </w:p>
    <w:p w14:paraId="7690867B">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Les pré-inscriptions de location de salle municipale s’établissent par simple demande auprès du maire ou au secrétariat de mairie ou par courrier adressé à monsieur le maire de Cintheaux. Cette pré-inscription doit être effectuée au moins un mois avant l’évènement. Passé ce délai, la demande pourra ne pas être prise en considération. </w:t>
      </w:r>
    </w:p>
    <w:p w14:paraId="21841F70">
      <w:pPr>
        <w:spacing w:after="0" w:line="240" w:lineRule="auto"/>
        <w:jc w:val="both"/>
        <w:rPr>
          <w:rFonts w:ascii="Times New Roman" w:hAnsi="Times New Roman" w:cs="Times New Roman"/>
          <w:sz w:val="24"/>
          <w:szCs w:val="24"/>
          <w:lang w:eastAsia="fr-FR"/>
        </w:rPr>
      </w:pPr>
    </w:p>
    <w:p w14:paraId="64B6BDD0">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La location se fait après avoir </w:t>
      </w:r>
    </w:p>
    <w:p w14:paraId="519CC242">
      <w:pPr>
        <w:pStyle w:val="12"/>
        <w:numPr>
          <w:ilvl w:val="0"/>
          <w:numId w:val="2"/>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fourni l’attestation d’assurance Responsabilité civile </w:t>
      </w:r>
    </w:p>
    <w:p w14:paraId="05D534D3">
      <w:pPr>
        <w:pStyle w:val="12"/>
        <w:numPr>
          <w:ilvl w:val="0"/>
          <w:numId w:val="2"/>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remis le chèque de caution </w:t>
      </w:r>
    </w:p>
    <w:p w14:paraId="5F5823C5">
      <w:pPr>
        <w:pStyle w:val="12"/>
        <w:numPr>
          <w:ilvl w:val="0"/>
          <w:numId w:val="2"/>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signé le présent règlement </w:t>
      </w:r>
    </w:p>
    <w:p w14:paraId="53612158">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Cette signature du règlement engage la personne signataire à en prendre connaissance et à en respecter strictement les dispositions. </w:t>
      </w:r>
    </w:p>
    <w:p w14:paraId="50491292">
      <w:pPr>
        <w:spacing w:after="0" w:line="240" w:lineRule="auto"/>
        <w:jc w:val="both"/>
        <w:rPr>
          <w:rFonts w:ascii="Times New Roman" w:hAnsi="Times New Roman" w:cs="Times New Roman"/>
          <w:sz w:val="24"/>
          <w:szCs w:val="24"/>
          <w:lang w:eastAsia="fr-FR"/>
        </w:rPr>
      </w:pPr>
    </w:p>
    <w:p w14:paraId="1E5A5092">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LES CONDITIONS FINANCIERES</w:t>
      </w:r>
    </w:p>
    <w:p w14:paraId="09D1A93D">
      <w:pPr>
        <w:spacing w:after="0" w:line="240" w:lineRule="auto"/>
        <w:jc w:val="both"/>
        <w:rPr>
          <w:rFonts w:ascii="Times New Roman" w:hAnsi="Times New Roman" w:cs="Times New Roman"/>
          <w:sz w:val="24"/>
          <w:szCs w:val="24"/>
          <w:lang w:eastAsia="fr-FR"/>
        </w:rPr>
      </w:pPr>
    </w:p>
    <w:p w14:paraId="4B56457A">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Le montant de la location et celui de la caution sont fixés par la délibération du Conseil municipal.  </w:t>
      </w:r>
      <w:r>
        <w:rPr>
          <w:rFonts w:ascii="Times New Roman" w:hAnsi="Times New Roman" w:cs="Times New Roman"/>
          <w:b/>
          <w:sz w:val="24"/>
          <w:szCs w:val="24"/>
          <w:lang w:eastAsia="fr-FR"/>
        </w:rPr>
        <w:t>La location est fixée à 200 €.</w:t>
      </w:r>
    </w:p>
    <w:p w14:paraId="47B43BA0">
      <w:pPr>
        <w:spacing w:after="0" w:line="240" w:lineRule="auto"/>
        <w:rPr>
          <w:rFonts w:ascii="Times New Roman" w:hAnsi="Times New Roman" w:cs="Times New Roman"/>
          <w:sz w:val="24"/>
          <w:szCs w:val="24"/>
          <w:lang w:eastAsia="fr-FR"/>
        </w:rPr>
      </w:pPr>
    </w:p>
    <w:p w14:paraId="68604EF3">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La caution est de 500 €. Le chèque de 500 € sera rendu à la personne qui a loué la salle communale, sauf en cas de dégradations :</w:t>
      </w:r>
    </w:p>
    <w:p w14:paraId="51C1BAB6">
      <w:pPr>
        <w:pStyle w:val="12"/>
        <w:numPr>
          <w:ilvl w:val="0"/>
          <w:numId w:val="3"/>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Dégradations et salissures des locaux, du mobilier ou des équipements, </w:t>
      </w:r>
    </w:p>
    <w:p w14:paraId="1024AA51">
      <w:pPr>
        <w:pStyle w:val="12"/>
        <w:numPr>
          <w:ilvl w:val="0"/>
          <w:numId w:val="3"/>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Différence constatée entre l’inventaire avant et après utilisation, </w:t>
      </w:r>
    </w:p>
    <w:p w14:paraId="69A6A2DD">
      <w:pPr>
        <w:pStyle w:val="12"/>
        <w:numPr>
          <w:ilvl w:val="0"/>
          <w:numId w:val="3"/>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Plainte du voisinage en Mairie suite à des nuisances,</w:t>
      </w:r>
    </w:p>
    <w:p w14:paraId="38C2F664">
      <w:pPr>
        <w:pStyle w:val="12"/>
        <w:numPr>
          <w:ilvl w:val="0"/>
          <w:numId w:val="3"/>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Dégradations des abords et des équipements intérieurs et extérieurs, </w:t>
      </w:r>
    </w:p>
    <w:p w14:paraId="2A7328B4">
      <w:pPr>
        <w:pStyle w:val="12"/>
        <w:numPr>
          <w:ilvl w:val="0"/>
          <w:numId w:val="3"/>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Nettoyage non effectué.</w:t>
      </w:r>
    </w:p>
    <w:p w14:paraId="1EED5B15">
      <w:pPr>
        <w:pStyle w:val="12"/>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 </w:t>
      </w:r>
    </w:p>
    <w:p w14:paraId="12CBF85E">
      <w:pPr>
        <w:spacing w:after="0" w:line="240" w:lineRule="auto"/>
        <w:jc w:val="both"/>
        <w:rPr>
          <w:rFonts w:ascii="Times New Roman" w:hAnsi="Times New Roman" w:cs="Times New Roman"/>
          <w:bCs/>
          <w:sz w:val="24"/>
          <w:szCs w:val="24"/>
          <w:lang w:eastAsia="fr-FR"/>
        </w:rPr>
      </w:pPr>
      <w:r>
        <w:rPr>
          <w:rFonts w:ascii="Times New Roman" w:hAnsi="Times New Roman" w:cs="Times New Roman"/>
          <w:bCs/>
          <w:sz w:val="24"/>
          <w:szCs w:val="24"/>
          <w:lang w:eastAsia="fr-FR"/>
        </w:rPr>
        <w:t>Les clés des salles seront remises au moment du premier état des lieux et restituées à la mairie en même temps que l’état des lieux final.</w:t>
      </w:r>
    </w:p>
    <w:p w14:paraId="3603E96B">
      <w:pPr>
        <w:spacing w:after="0" w:line="240" w:lineRule="auto"/>
        <w:jc w:val="both"/>
        <w:rPr>
          <w:rFonts w:ascii="Times New Roman" w:hAnsi="Times New Roman" w:cs="Times New Roman"/>
          <w:bCs/>
          <w:sz w:val="24"/>
          <w:szCs w:val="24"/>
          <w:lang w:eastAsia="fr-FR"/>
        </w:rPr>
      </w:pPr>
    </w:p>
    <w:p w14:paraId="4F1E7B59">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 xml:space="preserve">LA RESPONSABILITE DU BENEFICIAIRE </w:t>
      </w:r>
    </w:p>
    <w:p w14:paraId="5F6ED820">
      <w:pPr>
        <w:spacing w:after="0" w:line="240" w:lineRule="auto"/>
        <w:jc w:val="both"/>
        <w:rPr>
          <w:rFonts w:ascii="Times New Roman" w:hAnsi="Times New Roman" w:cs="Times New Roman"/>
          <w:b/>
          <w:bCs/>
          <w:sz w:val="24"/>
          <w:szCs w:val="24"/>
          <w:lang w:eastAsia="fr-FR"/>
        </w:rPr>
      </w:pPr>
    </w:p>
    <w:p w14:paraId="3A6638D0">
      <w:pPr>
        <w:pStyle w:val="12"/>
        <w:numPr>
          <w:ilvl w:val="0"/>
          <w:numId w:val="4"/>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Pendant la location, la présence du bénéficiaire dans la salle est requise. Il prend les dispositions de surveillance et de protection nécessaire.</w:t>
      </w:r>
    </w:p>
    <w:p w14:paraId="7E9E60B2">
      <w:pPr>
        <w:pStyle w:val="12"/>
        <w:numPr>
          <w:ilvl w:val="0"/>
          <w:numId w:val="4"/>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La commune décline toute responsabilité en cas de vol.</w:t>
      </w:r>
    </w:p>
    <w:p w14:paraId="1CF08467">
      <w:pPr>
        <w:pStyle w:val="12"/>
        <w:numPr>
          <w:ilvl w:val="0"/>
          <w:numId w:val="4"/>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Le bénéficiaire se doit de respecter les conditions de propreté, d’heure limite et le nombre maximal de personne admises, tels qu’ils sont indiqués dans le présent règlement. En cas de manquement, de tapage nocturne ou diurne, la responsabilité personnelle du bénéficiaire est engagée. </w:t>
      </w:r>
    </w:p>
    <w:p w14:paraId="52142115">
      <w:pPr>
        <w:pStyle w:val="12"/>
        <w:numPr>
          <w:ilvl w:val="0"/>
          <w:numId w:val="4"/>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D’une manière générale, le bénéficiaire interdit toute activité dangereuse et respecte les dispositions légales d’hygiène et de sécurité, en particulier, la circulation des utilisateurs ne doit pas être gênée à proximité des issues de secours.</w:t>
      </w:r>
    </w:p>
    <w:p w14:paraId="69460F46">
      <w:pPr>
        <w:pStyle w:val="12"/>
        <w:numPr>
          <w:ilvl w:val="0"/>
          <w:numId w:val="4"/>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 xml:space="preserve">Les installations techniques de chauffage, ventilation, éclairage, lutte contre le feu ou électriques ne doivent pas être modifiées. </w:t>
      </w:r>
    </w:p>
    <w:p w14:paraId="3FC4D8CE">
      <w:pPr>
        <w:pStyle w:val="12"/>
        <w:numPr>
          <w:ilvl w:val="0"/>
          <w:numId w:val="4"/>
        </w:num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Le bénéficiaire devra veiller à ce que personne ne fume dans la salle et aux abords ainsi qu’au respect des dispositions relatives à l’ivresse publique, l’accès étant interdit aux personnes en états d’ébriété.</w:t>
      </w:r>
    </w:p>
    <w:p w14:paraId="7DBE31A5">
      <w:pPr>
        <w:pStyle w:val="12"/>
        <w:numPr>
          <w:ilvl w:val="0"/>
          <w:numId w:val="4"/>
        </w:numPr>
        <w:spacing w:after="0" w:line="240" w:lineRule="auto"/>
        <w:jc w:val="both"/>
        <w:rPr>
          <w:rFonts w:ascii="Times New Roman" w:hAnsi="Times New Roman" w:cs="Times New Roman"/>
          <w:sz w:val="24"/>
          <w:szCs w:val="24"/>
          <w:lang w:eastAsia="fr-FR"/>
        </w:rPr>
      </w:pPr>
      <w:bookmarkStart w:id="0" w:name="5"/>
      <w:bookmarkEnd w:id="0"/>
      <w:r>
        <w:rPr>
          <w:rFonts w:ascii="Times New Roman" w:hAnsi="Times New Roman" w:cs="Times New Roman"/>
          <w:sz w:val="24"/>
          <w:szCs w:val="24"/>
          <w:lang w:eastAsia="fr-FR"/>
        </w:rPr>
        <w:t>Avant de quitter les lieux, le bénéficiaire s’assure de l’absence de risque d’incendie, d’inondation ou d’intrusion ; il procède à un contrôle de la salle, de ses abords et vérifie en particulier que les lumières sont éteintes, les portes et fenêtres closes, les robinetteries et les issues de secours fermées, que les ordures soient déposées dans les containers à l’extérieur.</w:t>
      </w:r>
    </w:p>
    <w:p w14:paraId="04838CD8">
      <w:pPr>
        <w:spacing w:after="0" w:line="240" w:lineRule="auto"/>
        <w:jc w:val="both"/>
        <w:rPr>
          <w:rFonts w:ascii="Times New Roman" w:hAnsi="Times New Roman" w:cs="Times New Roman"/>
          <w:sz w:val="24"/>
          <w:szCs w:val="24"/>
          <w:lang w:eastAsia="fr-FR"/>
        </w:rPr>
      </w:pPr>
    </w:p>
    <w:p w14:paraId="45BEDE5C">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Le règlement de location est remis au bénéficiaire.</w:t>
      </w:r>
    </w:p>
    <w:p w14:paraId="4665497C">
      <w:pPr>
        <w:spacing w:after="0" w:line="240" w:lineRule="auto"/>
        <w:jc w:val="both"/>
        <w:rPr>
          <w:rFonts w:ascii="Times New Roman" w:hAnsi="Times New Roman" w:cs="Times New Roman"/>
          <w:b/>
          <w:bCs/>
          <w:sz w:val="24"/>
          <w:szCs w:val="24"/>
          <w:lang w:eastAsia="fr-FR"/>
        </w:rPr>
      </w:pPr>
    </w:p>
    <w:p w14:paraId="36C100A0">
      <w:pPr>
        <w:spacing w:after="0" w:line="240" w:lineRule="auto"/>
        <w:jc w:val="both"/>
        <w:rPr>
          <w:rFonts w:ascii="Times New Roman" w:hAnsi="Times New Roman" w:cs="Times New Roman"/>
          <w:b/>
          <w:bCs/>
          <w:sz w:val="24"/>
          <w:szCs w:val="24"/>
          <w:lang w:eastAsia="fr-FR"/>
        </w:rPr>
      </w:pPr>
      <w:r>
        <w:rPr>
          <w:rFonts w:ascii="Times New Roman" w:hAnsi="Times New Roman" w:cs="Times New Roman"/>
          <w:b/>
          <w:bCs/>
          <w:sz w:val="24"/>
          <w:szCs w:val="24"/>
          <w:lang w:eastAsia="fr-FR"/>
        </w:rPr>
        <w:t>RANGEMENT ET NETTOYAGE</w:t>
      </w:r>
    </w:p>
    <w:p w14:paraId="2541C727">
      <w:pPr>
        <w:spacing w:after="0" w:line="240" w:lineRule="auto"/>
        <w:jc w:val="both"/>
        <w:rPr>
          <w:rFonts w:ascii="Times New Roman" w:hAnsi="Times New Roman" w:cs="Times New Roman"/>
          <w:sz w:val="24"/>
          <w:szCs w:val="24"/>
          <w:lang w:eastAsia="fr-FR"/>
        </w:rPr>
      </w:pPr>
    </w:p>
    <w:p w14:paraId="6781F284">
      <w:pPr>
        <w:spacing w:after="0" w:line="240" w:lineRule="auto"/>
        <w:rPr>
          <w:rFonts w:ascii="Times New Roman" w:hAnsi="Times New Roman" w:cs="Times New Roman"/>
          <w:sz w:val="24"/>
          <w:szCs w:val="24"/>
          <w:lang w:eastAsia="fr-FR"/>
        </w:rPr>
      </w:pPr>
      <w:r>
        <w:rPr>
          <w:rFonts w:ascii="Times New Roman" w:hAnsi="Times New Roman" w:cs="Times New Roman"/>
          <w:sz w:val="24"/>
          <w:szCs w:val="24"/>
          <w:lang w:eastAsia="fr-FR"/>
        </w:rPr>
        <w:t xml:space="preserve">Les tables et chaises doivent être remises à l’endroit où elles se trouvaient initialement après nettoyage. </w:t>
      </w:r>
    </w:p>
    <w:p w14:paraId="7F419980">
      <w:pPr>
        <w:spacing w:after="0" w:line="240" w:lineRule="auto"/>
        <w:rPr>
          <w:rFonts w:ascii="Times New Roman" w:hAnsi="Times New Roman" w:cs="Times New Roman"/>
          <w:sz w:val="24"/>
          <w:szCs w:val="24"/>
          <w:lang w:eastAsia="fr-FR"/>
        </w:rPr>
      </w:pPr>
      <w:r>
        <w:rPr>
          <w:rFonts w:ascii="Times New Roman" w:hAnsi="Times New Roman" w:cs="Times New Roman"/>
          <w:sz w:val="24"/>
          <w:szCs w:val="24"/>
          <w:lang w:eastAsia="fr-FR"/>
        </w:rPr>
        <w:t>La cuisine, les toilettes, les lavabos et l’électro-ménager doivent être nettoyés et remis dans l’état de propreté et de fonctionnement constaté au moment de l’état des lieux de départ.</w:t>
      </w:r>
    </w:p>
    <w:p w14:paraId="12AAC4C1">
      <w:pPr>
        <w:spacing w:after="0" w:line="240" w:lineRule="auto"/>
        <w:rPr>
          <w:rFonts w:ascii="Times New Roman" w:hAnsi="Times New Roman" w:cs="Times New Roman"/>
          <w:sz w:val="24"/>
          <w:szCs w:val="24"/>
          <w:lang w:eastAsia="fr-FR"/>
        </w:rPr>
      </w:pPr>
      <w:r>
        <w:rPr>
          <w:rFonts w:ascii="Times New Roman" w:hAnsi="Times New Roman" w:cs="Times New Roman"/>
          <w:sz w:val="24"/>
          <w:szCs w:val="24"/>
          <w:lang w:eastAsia="fr-FR"/>
        </w:rPr>
        <w:t>La salle doit être rangée et balayée.</w:t>
      </w:r>
    </w:p>
    <w:p w14:paraId="3C4AE054">
      <w:pPr>
        <w:spacing w:after="0" w:line="240" w:lineRule="auto"/>
        <w:rPr>
          <w:rFonts w:ascii="Times New Roman" w:hAnsi="Times New Roman" w:cs="Times New Roman"/>
          <w:sz w:val="24"/>
          <w:szCs w:val="24"/>
          <w:lang w:eastAsia="fr-FR"/>
        </w:rPr>
      </w:pPr>
      <w:r>
        <w:rPr>
          <w:rFonts w:ascii="Times New Roman" w:hAnsi="Times New Roman" w:cs="Times New Roman"/>
          <w:sz w:val="24"/>
          <w:szCs w:val="24"/>
          <w:lang w:eastAsia="fr-FR"/>
        </w:rPr>
        <w:t>Les abords extérieurs doivent être nettoyés, les papiers, les mégots ramassés.</w:t>
      </w:r>
    </w:p>
    <w:p w14:paraId="1D3CD4F6">
      <w:pPr>
        <w:spacing w:after="0" w:line="240" w:lineRule="auto"/>
        <w:jc w:val="both"/>
        <w:rPr>
          <w:rFonts w:ascii="Times New Roman" w:hAnsi="Times New Roman" w:cs="Times New Roman"/>
          <w:sz w:val="24"/>
          <w:szCs w:val="24"/>
          <w:lang w:eastAsia="fr-FR"/>
        </w:rPr>
      </w:pPr>
    </w:p>
    <w:p w14:paraId="34D3D008">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Cintheaux, le,,,,,,,,,,,,,,,,,,,,,,,,,,,</w:t>
      </w:r>
    </w:p>
    <w:p w14:paraId="3CE09720">
      <w:pPr>
        <w:spacing w:after="0" w:line="240" w:lineRule="auto"/>
        <w:jc w:val="both"/>
        <w:rPr>
          <w:rFonts w:ascii="Times New Roman" w:hAnsi="Times New Roman" w:cs="Times New Roman"/>
          <w:sz w:val="24"/>
          <w:szCs w:val="24"/>
          <w:lang w:eastAsia="fr-FR"/>
        </w:rPr>
      </w:pPr>
    </w:p>
    <w:p w14:paraId="0F1286C3">
      <w:pPr>
        <w:spacing w:after="0" w:line="240" w:lineRule="auto"/>
        <w:jc w:val="both"/>
        <w:rPr>
          <w:rFonts w:ascii="Times New Roman" w:hAnsi="Times New Roman" w:cs="Times New Roman"/>
          <w:sz w:val="24"/>
          <w:szCs w:val="24"/>
          <w:lang w:eastAsia="fr-FR"/>
        </w:rPr>
      </w:pPr>
    </w:p>
    <w:p w14:paraId="54C89C0A">
      <w:pPr>
        <w:spacing w:after="0" w:line="24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Le Maire ou son représentant</w:t>
      </w:r>
      <w:r>
        <w:rPr>
          <w:rFonts w:ascii="Times New Roman" w:hAnsi="Times New Roman" w:cs="Times New Roman"/>
          <w:sz w:val="24"/>
          <w:szCs w:val="24"/>
          <w:lang w:eastAsia="fr-FR"/>
        </w:rPr>
        <w:tab/>
      </w:r>
      <w:r>
        <w:rPr>
          <w:rFonts w:ascii="Times New Roman" w:hAnsi="Times New Roman" w:cs="Times New Roman"/>
          <w:sz w:val="24"/>
          <w:szCs w:val="24"/>
          <w:lang w:eastAsia="fr-FR"/>
        </w:rPr>
        <w:tab/>
      </w:r>
      <w:r>
        <w:rPr>
          <w:rFonts w:ascii="Times New Roman" w:hAnsi="Times New Roman" w:cs="Times New Roman"/>
          <w:sz w:val="24"/>
          <w:szCs w:val="24"/>
          <w:lang w:eastAsia="fr-FR"/>
        </w:rPr>
        <w:tab/>
      </w:r>
      <w:r>
        <w:rPr>
          <w:rFonts w:ascii="Times New Roman" w:hAnsi="Times New Roman" w:cs="Times New Roman"/>
          <w:sz w:val="24"/>
          <w:szCs w:val="24"/>
          <w:lang w:eastAsia="fr-FR"/>
        </w:rPr>
        <w:tab/>
      </w:r>
      <w:r>
        <w:rPr>
          <w:rFonts w:ascii="Times New Roman" w:hAnsi="Times New Roman" w:cs="Times New Roman"/>
          <w:sz w:val="24"/>
          <w:szCs w:val="24"/>
          <w:lang w:eastAsia="fr-FR"/>
        </w:rPr>
        <w:tab/>
      </w:r>
      <w:r>
        <w:rPr>
          <w:rFonts w:ascii="Times New Roman" w:hAnsi="Times New Roman" w:cs="Times New Roman"/>
          <w:sz w:val="24"/>
          <w:szCs w:val="24"/>
          <w:lang w:eastAsia="fr-FR"/>
        </w:rPr>
        <w:t>Le bénéficiaire responsable</w:t>
      </w:r>
    </w:p>
    <w:p w14:paraId="2F170420">
      <w:pPr>
        <w:spacing w:after="0" w:line="240" w:lineRule="auto"/>
        <w:jc w:val="both"/>
        <w:rPr>
          <w:rFonts w:ascii="Times New Roman" w:hAnsi="Times New Roman" w:cs="Times New Roman"/>
          <w:sz w:val="24"/>
          <w:szCs w:val="24"/>
          <w:lang w:eastAsia="fr-FR"/>
        </w:rPr>
      </w:pPr>
    </w:p>
    <w:p w14:paraId="210606F5">
      <w:pPr>
        <w:spacing w:after="0" w:line="240" w:lineRule="auto"/>
        <w:jc w:val="both"/>
        <w:rPr>
          <w:rFonts w:ascii="Times New Roman" w:hAnsi="Times New Roman" w:cs="Times New Roman"/>
          <w:sz w:val="24"/>
          <w:szCs w:val="24"/>
          <w:lang w:eastAsia="fr-FR"/>
        </w:rPr>
      </w:pPr>
    </w:p>
    <w:p w14:paraId="7F45BBD8">
      <w:pPr>
        <w:jc w:val="both"/>
        <w:rPr>
          <w:sz w:val="24"/>
          <w:szCs w:val="24"/>
        </w:rPr>
      </w:pPr>
    </w:p>
    <w:sectPr>
      <w:headerReference r:id="rId5" w:type="default"/>
      <w:footerReference r:id="rId6" w:type="default"/>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0A5B2">
    <w:pPr>
      <w:pStyle w:val="7"/>
      <w:jc w:val="right"/>
    </w:pPr>
    <w:r>
      <w:rPr>
        <w:rStyle w:val="4"/>
      </w:rPr>
      <w:fldChar w:fldCharType="begin"/>
    </w:r>
    <w:r>
      <w:rPr>
        <w:rStyle w:val="4"/>
      </w:rPr>
      <w:instrText xml:space="preserve"> PAGE </w:instrText>
    </w:r>
    <w:r>
      <w:rPr>
        <w:rStyle w:val="4"/>
      </w:rPr>
      <w:fldChar w:fldCharType="separate"/>
    </w:r>
    <w:r>
      <w:rPr>
        <w:rStyle w:val="4"/>
      </w:rPr>
      <w:t>1</w:t>
    </w:r>
    <w:r>
      <w:rPr>
        <w:rStyle w:val="4"/>
      </w:rPr>
      <w:fldChar w:fldCharType="end"/>
    </w:r>
    <w:r>
      <w:rPr>
        <w:rStyle w:val="4"/>
      </w:rPr>
      <w:t>/</w:t>
    </w:r>
    <w:r>
      <w:rPr>
        <w:rStyle w:val="4"/>
      </w:rPr>
      <w:fldChar w:fldCharType="begin"/>
    </w:r>
    <w:r>
      <w:rPr>
        <w:rStyle w:val="4"/>
      </w:rPr>
      <w:instrText xml:space="preserve"> NUMPAGES </w:instrText>
    </w:r>
    <w:r>
      <w:rPr>
        <w:rStyle w:val="4"/>
      </w:rPr>
      <w:fldChar w:fldCharType="separate"/>
    </w:r>
    <w:r>
      <w:rPr>
        <w:rStyle w:val="4"/>
      </w:rPr>
      <w:t>1</w:t>
    </w:r>
    <w:r>
      <w:rPr>
        <w:rStyle w:val="4"/>
      </w:rPr>
      <w:fldChar w:fldCharType="end"/>
    </w:r>
  </w:p>
  <w:p w14:paraId="02A161EE">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97CC9">
    <w:pPr>
      <w:pStyle w:val="9"/>
      <w:jc w:val="center"/>
      <w:rPr>
        <w:rFonts w:ascii="Times New Roman" w:hAnsi="Times New Roman" w:cs="Times New Roman"/>
        <w:sz w:val="24"/>
        <w:szCs w:val="24"/>
      </w:rPr>
    </w:pPr>
    <w:r>
      <w:rPr>
        <w:rFonts w:ascii="Times New Roman" w:hAnsi="Times New Roman" w:cs="Times New Roman"/>
        <w:sz w:val="24"/>
        <w:szCs w:val="24"/>
      </w:rPr>
      <w:t xml:space="preserve">Commune de Cintheaux </w:t>
    </w:r>
  </w:p>
  <w:p w14:paraId="3D14D4D4">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A93750"/>
    <w:multiLevelType w:val="multilevel"/>
    <w:tmpl w:val="2BA9375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cs="Wingdings"/>
      </w:rPr>
    </w:lvl>
    <w:lvl w:ilvl="3" w:tentative="0">
      <w:start w:val="1"/>
      <w:numFmt w:val="bullet"/>
      <w:lvlText w:val=""/>
      <w:lvlJc w:val="left"/>
      <w:pPr>
        <w:ind w:left="2880" w:hanging="360"/>
      </w:pPr>
      <w:rPr>
        <w:rFonts w:hint="default" w:ascii="Symbol" w:hAnsi="Symbol" w:cs="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cs="Wingdings"/>
      </w:rPr>
    </w:lvl>
    <w:lvl w:ilvl="6" w:tentative="0">
      <w:start w:val="1"/>
      <w:numFmt w:val="bullet"/>
      <w:lvlText w:val=""/>
      <w:lvlJc w:val="left"/>
      <w:pPr>
        <w:ind w:left="5040" w:hanging="360"/>
      </w:pPr>
      <w:rPr>
        <w:rFonts w:hint="default" w:ascii="Symbol" w:hAnsi="Symbol" w:cs="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cs="Wingdings"/>
      </w:rPr>
    </w:lvl>
  </w:abstractNum>
  <w:abstractNum w:abstractNumId="1">
    <w:nsid w:val="4C92502D"/>
    <w:multiLevelType w:val="multilevel"/>
    <w:tmpl w:val="4C92502D"/>
    <w:lvl w:ilvl="0" w:tentative="0">
      <w:start w:val="1"/>
      <w:numFmt w:val="bullet"/>
      <w:lvlText w:val=""/>
      <w:lvlJc w:val="left"/>
      <w:pPr>
        <w:ind w:left="720" w:hanging="360"/>
      </w:pPr>
      <w:rPr>
        <w:rFonts w:hint="default" w:ascii="Symbol" w:hAnsi="Symbol" w:cs="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cs="Wingdings"/>
      </w:rPr>
    </w:lvl>
    <w:lvl w:ilvl="3" w:tentative="0">
      <w:start w:val="1"/>
      <w:numFmt w:val="bullet"/>
      <w:lvlText w:val=""/>
      <w:lvlJc w:val="left"/>
      <w:pPr>
        <w:ind w:left="2880" w:hanging="360"/>
      </w:pPr>
      <w:rPr>
        <w:rFonts w:hint="default" w:ascii="Symbol" w:hAnsi="Symbol" w:cs="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cs="Wingdings"/>
      </w:rPr>
    </w:lvl>
    <w:lvl w:ilvl="6" w:tentative="0">
      <w:start w:val="1"/>
      <w:numFmt w:val="bullet"/>
      <w:lvlText w:val=""/>
      <w:lvlJc w:val="left"/>
      <w:pPr>
        <w:ind w:left="5040" w:hanging="360"/>
      </w:pPr>
      <w:rPr>
        <w:rFonts w:hint="default" w:ascii="Symbol" w:hAnsi="Symbol" w:cs="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cs="Wingdings"/>
      </w:rPr>
    </w:lvl>
  </w:abstractNum>
  <w:abstractNum w:abstractNumId="2">
    <w:nsid w:val="5C834DD7"/>
    <w:multiLevelType w:val="multilevel"/>
    <w:tmpl w:val="5C834DD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74B87A03"/>
    <w:multiLevelType w:val="multilevel"/>
    <w:tmpl w:val="74B87A03"/>
    <w:lvl w:ilvl="0" w:tentative="0">
      <w:start w:val="1"/>
      <w:numFmt w:val="bullet"/>
      <w:lvlText w:val=""/>
      <w:lvlJc w:val="left"/>
      <w:pPr>
        <w:ind w:left="720" w:hanging="360"/>
      </w:pPr>
      <w:rPr>
        <w:rFonts w:hint="default" w:ascii="Symbol" w:hAnsi="Symbol" w:cs="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cs="Wingdings"/>
      </w:rPr>
    </w:lvl>
    <w:lvl w:ilvl="3" w:tentative="0">
      <w:start w:val="1"/>
      <w:numFmt w:val="bullet"/>
      <w:lvlText w:val=""/>
      <w:lvlJc w:val="left"/>
      <w:pPr>
        <w:ind w:left="2880" w:hanging="360"/>
      </w:pPr>
      <w:rPr>
        <w:rFonts w:hint="default" w:ascii="Symbol" w:hAnsi="Symbol" w:cs="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cs="Wingdings"/>
      </w:rPr>
    </w:lvl>
    <w:lvl w:ilvl="6" w:tentative="0">
      <w:start w:val="1"/>
      <w:numFmt w:val="bullet"/>
      <w:lvlText w:val=""/>
      <w:lvlJc w:val="left"/>
      <w:pPr>
        <w:ind w:left="5040" w:hanging="360"/>
      </w:pPr>
      <w:rPr>
        <w:rFonts w:hint="default" w:ascii="Symbol" w:hAnsi="Symbol" w:cs="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cs="Wingdings"/>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08"/>
  <w:hyphenationZone w:val="425"/>
  <w:characterSpacingControl w:val="doNotCompress"/>
  <w:doNotValidateAgainstSchema/>
  <w:doNotDemarcateInvalidXml/>
  <w:footnotePr>
    <w:footnote w:id="0"/>
    <w:footnote w:id="1"/>
  </w:footnotePr>
  <w:endnotePr>
    <w:endnote w:id="0"/>
    <w:endnote w:id="1"/>
  </w:endnotePr>
  <w:compa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F75"/>
    <w:rsid w:val="00030B50"/>
    <w:rsid w:val="00072FEA"/>
    <w:rsid w:val="000B52C2"/>
    <w:rsid w:val="00130A10"/>
    <w:rsid w:val="00165B29"/>
    <w:rsid w:val="00171906"/>
    <w:rsid w:val="001739F1"/>
    <w:rsid w:val="001A0746"/>
    <w:rsid w:val="001A7534"/>
    <w:rsid w:val="00227EED"/>
    <w:rsid w:val="002B579E"/>
    <w:rsid w:val="00351DA5"/>
    <w:rsid w:val="00397F29"/>
    <w:rsid w:val="0043452A"/>
    <w:rsid w:val="00437B88"/>
    <w:rsid w:val="00441D11"/>
    <w:rsid w:val="00442A54"/>
    <w:rsid w:val="00443A93"/>
    <w:rsid w:val="00454432"/>
    <w:rsid w:val="004621C6"/>
    <w:rsid w:val="00462A4F"/>
    <w:rsid w:val="004677A0"/>
    <w:rsid w:val="00475D93"/>
    <w:rsid w:val="00477572"/>
    <w:rsid w:val="004F01AD"/>
    <w:rsid w:val="00504360"/>
    <w:rsid w:val="00522304"/>
    <w:rsid w:val="005323D6"/>
    <w:rsid w:val="005527D8"/>
    <w:rsid w:val="00555DFF"/>
    <w:rsid w:val="0055726B"/>
    <w:rsid w:val="005F3BDF"/>
    <w:rsid w:val="00633B2F"/>
    <w:rsid w:val="006C3C5D"/>
    <w:rsid w:val="00714D12"/>
    <w:rsid w:val="00744605"/>
    <w:rsid w:val="00766720"/>
    <w:rsid w:val="007C4837"/>
    <w:rsid w:val="007C5C16"/>
    <w:rsid w:val="007F5725"/>
    <w:rsid w:val="00844951"/>
    <w:rsid w:val="0086532F"/>
    <w:rsid w:val="008675B6"/>
    <w:rsid w:val="00880141"/>
    <w:rsid w:val="008B5F75"/>
    <w:rsid w:val="008E5028"/>
    <w:rsid w:val="008E7C6C"/>
    <w:rsid w:val="00933F93"/>
    <w:rsid w:val="00950D48"/>
    <w:rsid w:val="0097067E"/>
    <w:rsid w:val="009C3AF9"/>
    <w:rsid w:val="009F378C"/>
    <w:rsid w:val="00A03C64"/>
    <w:rsid w:val="00A12A56"/>
    <w:rsid w:val="00A3466A"/>
    <w:rsid w:val="00A81892"/>
    <w:rsid w:val="00A83C53"/>
    <w:rsid w:val="00B44390"/>
    <w:rsid w:val="00B53327"/>
    <w:rsid w:val="00B66CBB"/>
    <w:rsid w:val="00B853A3"/>
    <w:rsid w:val="00B859F9"/>
    <w:rsid w:val="00BB1C9D"/>
    <w:rsid w:val="00C64DC0"/>
    <w:rsid w:val="00C664DA"/>
    <w:rsid w:val="00C81CD1"/>
    <w:rsid w:val="00C85B9B"/>
    <w:rsid w:val="00D079DB"/>
    <w:rsid w:val="00D12A2E"/>
    <w:rsid w:val="00D9134C"/>
    <w:rsid w:val="00E91355"/>
    <w:rsid w:val="00F67534"/>
    <w:rsid w:val="00F83E9F"/>
    <w:rsid w:val="00F846B4"/>
    <w:rsid w:val="00F86F86"/>
    <w:rsid w:val="00FD65BE"/>
    <w:rsid w:val="00FF1016"/>
    <w:rsid w:val="2CD13FA0"/>
  </w:rsids>
  <m:mathPr>
    <m:mathFont m:val="Cambria Math"/>
    <m:brkBin m:val="before"/>
    <m:brkBinSub m:val="--"/>
    <m:smallFrac m:val="0"/>
    <m:dispDef/>
    <m:lMargin m:val="0"/>
    <m:rMargin m:val="0"/>
    <m:defJc m:val="centerGroup"/>
    <m:wrapIndent m:val="1440"/>
    <m:intLim m:val="subSup"/>
    <m:naryLim m:val="undOvr"/>
  </m:mathPr>
  <w:doNotAutoCompressPictures/>
  <w:themeFontLang w:val="fr-F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qFormat="1" w:unhideWhenUsed="0" w:uiPriority="99" w:name="envelope address"/>
    <w:lsdException w:unhideWhenUsed="0" w:uiPriority="99" w:name="envelope return"/>
    <w:lsdException w:uiPriority="99" w:name="footnote reference"/>
    <w:lsdException w:uiPriority="99" w:name="annotation reference"/>
    <w:lsdException w:uiPriority="99" w:name="line number"/>
    <w:lsdException w:unhideWhenUsed="0" w:uiPriority="99" w:semiHidden="0" w:name="page number"/>
    <w:lsdException w:unhideWhenUsed="0"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Balloon Text"/>
    <w:lsdException w:qFormat="1" w:unhideWhenUsed="0" w:uiPriority="99" w:semiHidden="0" w:name="List Paragraph"/>
  </w:latentStyles>
  <w:style w:type="paragraph" w:default="1" w:styleId="1">
    <w:name w:val="Normal"/>
    <w:qFormat/>
    <w:uiPriority w:val="0"/>
    <w:pPr>
      <w:spacing w:after="160" w:line="259" w:lineRule="auto"/>
    </w:pPr>
    <w:rPr>
      <w:rFonts w:ascii="Calibri" w:hAnsi="Calibri" w:eastAsia="Calibri" w:cs="Calibri"/>
      <w:sz w:val="22"/>
      <w:szCs w:val="22"/>
      <w:lang w:val="fr-FR" w:eastAsia="en-US" w:bidi="ar-SA"/>
    </w:rPr>
  </w:style>
  <w:style w:type="character" w:default="1" w:styleId="2">
    <w:name w:val="Default Paragraph Font"/>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character" w:styleId="3">
    <w:name w:val="endnote reference"/>
    <w:semiHidden/>
    <w:uiPriority w:val="99"/>
    <w:rPr>
      <w:vertAlign w:val="superscript"/>
    </w:rPr>
  </w:style>
  <w:style w:type="character" w:styleId="4">
    <w:name w:val="page number"/>
    <w:basedOn w:val="2"/>
    <w:uiPriority w:val="99"/>
  </w:style>
  <w:style w:type="paragraph" w:styleId="5">
    <w:name w:val="endnote text"/>
    <w:basedOn w:val="1"/>
    <w:link w:val="11"/>
    <w:semiHidden/>
    <w:qFormat/>
    <w:uiPriority w:val="99"/>
    <w:pPr>
      <w:spacing w:after="0" w:line="240" w:lineRule="auto"/>
    </w:pPr>
    <w:rPr>
      <w:sz w:val="20"/>
      <w:szCs w:val="20"/>
    </w:rPr>
  </w:style>
  <w:style w:type="paragraph" w:styleId="6">
    <w:name w:val="envelope return"/>
    <w:basedOn w:val="1"/>
    <w:semiHidden/>
    <w:uiPriority w:val="99"/>
    <w:pPr>
      <w:spacing w:after="0" w:line="240" w:lineRule="auto"/>
    </w:pPr>
    <w:rPr>
      <w:rFonts w:ascii="Comic Sans MS" w:hAnsi="Comic Sans MS" w:eastAsia="Times New Roman" w:cs="Comic Sans MS"/>
      <w:color w:val="002060"/>
      <w:sz w:val="20"/>
      <w:szCs w:val="20"/>
    </w:rPr>
  </w:style>
  <w:style w:type="paragraph" w:styleId="7">
    <w:name w:val="footer"/>
    <w:basedOn w:val="1"/>
    <w:link w:val="14"/>
    <w:uiPriority w:val="99"/>
    <w:pPr>
      <w:tabs>
        <w:tab w:val="center" w:pos="4536"/>
        <w:tab w:val="right" w:pos="9072"/>
      </w:tabs>
      <w:spacing w:after="0" w:line="240" w:lineRule="auto"/>
    </w:pPr>
  </w:style>
  <w:style w:type="paragraph" w:styleId="8">
    <w:name w:val="envelope address"/>
    <w:basedOn w:val="1"/>
    <w:semiHidden/>
    <w:qFormat/>
    <w:uiPriority w:val="99"/>
    <w:pPr>
      <w:framePr w:w="7938" w:h="1985" w:hRule="exact" w:hSpace="141" w:wrap="auto" w:vAnchor="margin" w:hAnchor="page" w:xAlign="center" w:yAlign="bottom"/>
      <w:spacing w:after="0" w:line="240" w:lineRule="auto"/>
      <w:ind w:left="2835"/>
    </w:pPr>
    <w:rPr>
      <w:rFonts w:ascii="Times New Roman" w:hAnsi="Times New Roman" w:eastAsia="Times New Roman" w:cs="Times New Roman"/>
      <w:sz w:val="28"/>
      <w:szCs w:val="28"/>
    </w:rPr>
  </w:style>
  <w:style w:type="paragraph" w:styleId="9">
    <w:name w:val="header"/>
    <w:basedOn w:val="1"/>
    <w:link w:val="13"/>
    <w:uiPriority w:val="99"/>
    <w:pPr>
      <w:tabs>
        <w:tab w:val="center" w:pos="4536"/>
        <w:tab w:val="right" w:pos="9072"/>
      </w:tabs>
      <w:spacing w:after="0" w:line="240" w:lineRule="auto"/>
    </w:pPr>
  </w:style>
  <w:style w:type="character" w:customStyle="1" w:styleId="11">
    <w:name w:val="Note de fin Car"/>
    <w:link w:val="5"/>
    <w:semiHidden/>
    <w:uiPriority w:val="99"/>
    <w:rPr>
      <w:sz w:val="20"/>
      <w:szCs w:val="20"/>
    </w:rPr>
  </w:style>
  <w:style w:type="paragraph" w:styleId="12">
    <w:name w:val="List Paragraph"/>
    <w:basedOn w:val="1"/>
    <w:qFormat/>
    <w:uiPriority w:val="99"/>
    <w:pPr>
      <w:ind w:left="720"/>
      <w:contextualSpacing/>
    </w:pPr>
  </w:style>
  <w:style w:type="character" w:customStyle="1" w:styleId="13">
    <w:name w:val="En-tête Car"/>
    <w:basedOn w:val="2"/>
    <w:link w:val="9"/>
    <w:uiPriority w:val="99"/>
  </w:style>
  <w:style w:type="character" w:customStyle="1" w:styleId="14">
    <w:name w:val="Pied de page Car"/>
    <w:basedOn w:val="2"/>
    <w:link w:val="7"/>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1158</Words>
  <Characters>6372</Characters>
  <Lines>53</Lines>
  <Paragraphs>15</Paragraphs>
  <TotalTime>0</TotalTime>
  <ScaleCrop>false</ScaleCrop>
  <LinksUpToDate>false</LinksUpToDate>
  <CharactersWithSpaces>7515</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2014-06-22T15:53:00Z</dcterms:created>
  <dc:creator>Anne Jaeger Le Breton</dc:creator>
  <cp:lastModifiedBy>Anne</cp:lastModifiedBy>
  <dcterms:modified xsi:type="dcterms:W3CDTF">2025-11-01T17:46:19Z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1036-12.2.0.21179</vt:lpwstr>
  </property>
  <property fmtid="{D5CDD505-2E9C-101B-9397-08002B2CF9AE}" pid="3" name="ICV">
    <vt:lpwstr>A69ED8E6902D4FBD8F077CC41B916285_13</vt:lpwstr>
  </property>
</Properties>
</file>